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7706C" w:rsidRDefault="00A41421">
      <w:pPr>
        <w:keepNext/>
        <w:keepLine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</w:t>
      </w:r>
    </w:p>
    <w:p w:rsidR="0007706C" w:rsidRDefault="00A41421">
      <w:pPr>
        <w:keepNext/>
        <w:keepLine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УТВЕРЖДЕНО</w:t>
      </w:r>
    </w:p>
    <w:p w:rsidR="0007706C" w:rsidRDefault="00A41421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Профсоюза</w:t>
      </w:r>
    </w:p>
    <w:p w:rsidR="0007706C" w:rsidRDefault="0007706C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</w:rPr>
      </w:pPr>
    </w:p>
    <w:p w:rsidR="0007706C" w:rsidRDefault="00A41421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 Черногаев С.И. </w:t>
      </w:r>
    </w:p>
    <w:p w:rsidR="0007706C" w:rsidRDefault="00A41421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«___» ___________ 2022 г.</w:t>
      </w:r>
    </w:p>
    <w:p w:rsidR="0007706C" w:rsidRDefault="00A41421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Президиума</w:t>
      </w:r>
    </w:p>
    <w:p w:rsidR="0007706C" w:rsidRDefault="00A41421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Профсоюза №_______</w:t>
      </w:r>
    </w:p>
    <w:p w:rsidR="0007706C" w:rsidRDefault="0007706C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7706C" w:rsidRDefault="00A4142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07706C" w:rsidRDefault="00A41421">
      <w:pPr>
        <w:keepNext/>
        <w:keepLine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 Ассоциации выпускников программ лидерства РОСПРОФЖЕЛ</w:t>
      </w:r>
    </w:p>
    <w:p w:rsidR="0007706C" w:rsidRDefault="0007706C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</w:rPr>
      </w:pPr>
    </w:p>
    <w:p w:rsidR="0007706C" w:rsidRDefault="00A41421">
      <w:pPr>
        <w:keepNext/>
        <w:keepLine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Ассоциация выпускников программ лидерства РОСПРОФЖЕЛ (далее – Ассоциация) – основанная на добровольном членстве самоуправляемое общественное подразделение Профсоюза, созданное в целях осуществления в соответствии с настоящим Положением деятельности, определяемой общностью интересов её членов.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Ассоциация считается созданной, приобретает права и обязанности после утверждения Президиумом Профсоюза настоящего Положения.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Ассоциация в своей деятельности руководствуется законодательством Российской Федерации, Уставом РОСПРОФЖЕЛ, настоящим Положением и другими локальными актами Профсоюза, регулирующими образовательную, научную и иную деятельность.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Источниками финансирования деятельности Ассоциации могут быть средства Профсоюза, средства Ассоциации, предусмотренные Разделом 6 настоящего Положения.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Официальное полное и сокращенное наименование Ассоциации: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«Ассоциация выпускников программ лидерства РОСПРОФЖЕЛ»;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«</w:t>
      </w:r>
      <w:proofErr w:type="spellStart"/>
      <w:r>
        <w:rPr>
          <w:rFonts w:ascii="Times New Roman" w:hAnsi="Times New Roman"/>
          <w:sz w:val="28"/>
        </w:rPr>
        <w:t>ПрофЛидер</w:t>
      </w:r>
      <w:proofErr w:type="spellEnd"/>
      <w:r>
        <w:rPr>
          <w:rFonts w:ascii="Times New Roman" w:hAnsi="Times New Roman"/>
          <w:sz w:val="28"/>
        </w:rPr>
        <w:t>».</w:t>
      </w:r>
    </w:p>
    <w:p w:rsidR="0007706C" w:rsidRDefault="00A41421">
      <w:pPr>
        <w:keepNext/>
        <w:keepLines/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Место нахождения Ассоциации: г. Москва.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Ассоциация не является юридическим лицом и не подлежит государственной регистрации, если иное решение не принято постановлением Центрального комитета Профсоюза (далее – ЦК Профсоюза).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7706C" w:rsidRDefault="00A41421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 И ЗАДАЧИ АССОЦИАЦИИ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Цели Ассоциации: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укрепление корпоративного взаимодействия среди профсоюзных активистов и выпускников программ Профсоюза (далее – Выпускников) всех поколений;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сплочение и социальное продвижение Выпускников профсоюзных программ; 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создание условий для более полной самореализации Выпускников, содействие их профессиональному росту;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создание условий для профессионального и культурного общения Выпускников;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сохранение и укрепление традиций Профсоюза, повышение престижа Профсоюза в российском и международном сообществе;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объединение усилий Выпускников, способных содействовать развитию Профсоюза и его организаций;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реализации стратегии развития Профсоюза за счет использования опыта и возможностей Выпускников в осуществлении учебных, научных, социально-экономических и иных проектов;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в реализации молодежной и кадровой политики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оказание разносторонней помощи Профсоюзу путем объединения усилий Выпускников, активистов, освобожденных и неосвобожденных работников Профсоюза, укрепления авторитета и имиджа, расширения внешних связей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поддержка деловых связей профессионального сообщества железнодорожного транспортного комплекса;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в укреплении авторитета Выпускников на рынке труда;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информационный обмен между Выпускниками и членами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 xml:space="preserve">– организация встреч Выпускников, приуроченных к памятным и юбилейным датам. 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Для достижения поставленных целей Ассоциация решает следующие задачи: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создание банка данных о Выпускниках для обеспечения их постоянной связи с Профсоюзом и между собой;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proofErr w:type="spellStart"/>
      <w:r>
        <w:rPr>
          <w:rFonts w:ascii="Times New Roman" w:hAnsi="Times New Roman"/>
          <w:sz w:val="28"/>
        </w:rPr>
        <w:t>мониторирование</w:t>
      </w:r>
      <w:proofErr w:type="spellEnd"/>
      <w:r>
        <w:rPr>
          <w:rFonts w:ascii="Times New Roman" w:hAnsi="Times New Roman"/>
          <w:sz w:val="28"/>
        </w:rPr>
        <w:t xml:space="preserve"> трудоустройства Выпускников и их карьерного роста;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установление, расширение и развитие постоянных личных и деловых контактов с Выпускниками, организация взаимопомощи и сотрудничества между ними;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доведение до Выпускников новостей и актуальной информации о Профсоюзе через средства массовой информации, интернет, сайт Профсоюза, организация встреч;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использование опыта и возможностей Выпускников для реализации социальных, законотворческих и других общественных проектов, относящихся к области стратегического развития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развитию и совершенствованию Профсоюза, повышению и мотивации осознанного членства, усовершенствования методик подготовки профсоюзных кадров, сохранению и преумножению его традиций, росту авторитета и расширению его влияния, повышению уровня профессиональной подготовки и повышению квалификации кадров, улучшению качества образования и практики;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помощь во взаимодействии Профсоюза с организациями, в которых работают Выпускники, для содействия в решении задач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организация участия Выпускников в программах Профсоюза, проведение ими тренингов, практикумов, спецкурсов с целью усиления практического обучения профсоюзного актива;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в работе по профессиональной подготовке профсоюзного актива («круглые столы», конференции, практики), а также в воспитательной работе с молодежью;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в работе по профориентации молодежи, в привлечении новых членов в Профсоюз, в поиске мест прохождения студентами всех видов практик, трудоустройстве студентов – профсоюзных активистов;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содействие в налаживании социального партнерства, согласовании и реализации взаимных интересов работодателей, государственных и местных органов власти, образовательных учреждений, общественных организаций с Профсоюзом;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организация регулярных встреч Выпускников, в том числе юбилейных собраний по памятным датам;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распространение информации о достижениях в профессиональной деятельности членов Ассоциации среди работников и профсоюзных активистов Профсоюза.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Ассоциация в своей деятельности использует следующие формы работы, в том числе: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ведение галереи Выпускников на сайте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создание групп Ассоциации в социальных сетях;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формирование страницы Ассоциации на сайте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proofErr w:type="spellStart"/>
      <w:r>
        <w:rPr>
          <w:rFonts w:ascii="Times New Roman" w:hAnsi="Times New Roman"/>
          <w:sz w:val="28"/>
        </w:rPr>
        <w:t>грантовая</w:t>
      </w:r>
      <w:proofErr w:type="spellEnd"/>
      <w:r>
        <w:rPr>
          <w:rFonts w:ascii="Times New Roman" w:hAnsi="Times New Roman"/>
          <w:sz w:val="28"/>
        </w:rPr>
        <w:t xml:space="preserve"> поддержка талантливых </w:t>
      </w:r>
      <w:proofErr w:type="spellStart"/>
      <w:r>
        <w:rPr>
          <w:rFonts w:ascii="Times New Roman" w:hAnsi="Times New Roman"/>
          <w:sz w:val="28"/>
        </w:rPr>
        <w:t>профактивистов</w:t>
      </w:r>
      <w:proofErr w:type="spellEnd"/>
      <w:r>
        <w:rPr>
          <w:rFonts w:ascii="Times New Roman" w:hAnsi="Times New Roman"/>
          <w:sz w:val="28"/>
        </w:rPr>
        <w:t xml:space="preserve"> и их проектов;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лектории Выпускников Профсоюза – беседы о современных вызовах в общественной деятельности, повседневной жизни и на производстве;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тренинги и консультации по карьерному росту от ведущих работодателей;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организация экскурсий, учебных и иных практик в организациях, где работают Выпускники – члены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передача на аутсорсинг Выпускникам основных направлений деятельности Ассоциации (информационное обеспечение, редакционная деятельность, организация встреч и мероприятий и др.);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комплекс услуг и п</w:t>
      </w:r>
      <w:r w:rsidR="004E2F44">
        <w:rPr>
          <w:rFonts w:ascii="Times New Roman" w:hAnsi="Times New Roman"/>
          <w:sz w:val="28"/>
        </w:rPr>
        <w:t>ривилегий для членов Ассоциации</w:t>
      </w:r>
      <w:r>
        <w:rPr>
          <w:rFonts w:ascii="Times New Roman" w:hAnsi="Times New Roman"/>
          <w:sz w:val="28"/>
        </w:rPr>
        <w:t>; право организации проектов и программ под маркой Ассоциации; доступ к информации Ассоциации, в том числе размещение вакансий и выбор кандидатов;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возможность использовать помещения Профсоюза для деловых встреч, общих собраний, семинаров, тренингов, проведения других мероприятий);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proofErr w:type="spellStart"/>
      <w:r>
        <w:rPr>
          <w:rFonts w:ascii="Times New Roman" w:hAnsi="Times New Roman"/>
          <w:sz w:val="28"/>
        </w:rPr>
        <w:t>фандрайзинг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краудсорсинг</w:t>
      </w:r>
      <w:proofErr w:type="spellEnd"/>
      <w:r>
        <w:rPr>
          <w:rFonts w:ascii="Times New Roman" w:hAnsi="Times New Roman"/>
          <w:sz w:val="28"/>
        </w:rPr>
        <w:t>) – информационный канал о нуждах членов Профсоюза и необходимости оказания помощи, способах и каналах её оказания;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обсуждение и реализация проектов по социальному и бизнес сотрудничеству организаций, в которых работают Выпускники;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формирование и развитие межличностной сети Выпускников.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7706C" w:rsidRDefault="00A41421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ЧЛЕНСТВО В АССОЦИАЦИИ, ПОРЯДОК ПРИЕМА И ВЫХОДА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Членами Ассоциации могут быть физические лица – Выпускники профсоюзных программ любого года выпуска, а также работники Аппарата ЦК и организаций Профсоюза.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Почетными членами Ассоциации могут быть государственные деятели, крупнейшие российские и зарубежные ученые (специалисты), внесшие значительный вклад в решение теоретических и практических вопросов, выдающиеся спортсмены, деятели науки и культуры, внесшие большой вклад в становление, развитие и укрепление авторитета Профсоюза и принимающие активное участие в решении задач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Членство в Ассоциации строится на добровольной основе. Прием новых членов производится Советом на основании личного заявления, поданного в электронном виде или на бумажном носителе.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C02715"/>
          <w:sz w:val="28"/>
        </w:rPr>
      </w:pPr>
    </w:p>
    <w:p w:rsidR="0007706C" w:rsidRDefault="00A41421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ПРАВА И ОБЯЗАННОСТИ ЧЛЕНОВ АССОЦИАЦИИ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Члены Ассоциации имеют право: 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участвовать в управлении Ассоциацией, разработке перспективных и текущих планов работы;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избирать и быть избранными в выборные органы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участвовать во всех видах деятельности и мероприятиях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одного голоса на Общем собрании;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получать информационные и методические материалы Ассоциации, информацию о решениях Общего собрания, Совета и планируемых мероприятиях;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использовать в своей работе подготовленные Ассоциацией научные, информационные и иные материалы с соответствующей ссылкой;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посещать вечера встреч, дни открытых дверей и праздничные мероприятия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пользоваться информационными ресурсами Профсоюза;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участвовать в программах Профсоюза на особых условиях (по согласованию);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проводить деловые встречи, общие собрания, семинары, тренинги и т.д. в помещениях Профсоюза (по согласованию);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запрашивать у органов управления Ассоциацией информацию о выполнении решений Общего собрания и Совета, а также своих предложений;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вносить предложения в повестку дня Общего собрания;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обращаться в органы управления Ассоциации по любым вопросам, связанным с ее деятельностью;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получать от Ассоциации консультативную, методологическую, юридическую и иную помощь;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вносить добровольные пожертвования для осуществления Ассоциацией деятельности, предусмотренной настоящим Положением.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Члены Ассоциации обязаны: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честно и достойно нести имя Выпускника;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активно способствовать решению задач, стоящих перед Ассоциацией;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принимать участие в мероприятиях, проводимых по решению Общего собрания и Совета;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соблюдать настоящее Положение и в срок выполнять решения органов управления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по возможности оказывать материальную, консультативную и иную помощь для осуществления работы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 установленные сроки выполнять решения, принятые Советом или Общим собранием;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своевременно извещать Ассоциацию (её органы) об изменении своих контактных данных; 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уплачивать членские взносы в порядке и размере, установленном Советом;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выполнять иные обязательства, вытекающие из настоящего Положения.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Член Ассоциации, не выполняющий либо ненадлежащим образом выполняющий свои обязанности, или нарушивший принятые на себя обязательства перед Ассоциацией, а также препятствующий своими действиями или бездействием нормальной работе Ассоциации, может быть исключен из нее на основании решения Совета.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7706C" w:rsidRDefault="00A41421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УПРАВЛЕНИЕ АССОЦИАЦИЕЙ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Органами управления Ассоциацией являются: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Общее собрание членов Ассоциации/Конференция (по тексту – Общее собрание);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 w:rsidR="00FE29BA">
        <w:rPr>
          <w:rFonts w:ascii="Times New Roman" w:hAnsi="Times New Roman"/>
          <w:sz w:val="28"/>
        </w:rPr>
        <w:t>Директор</w:t>
      </w:r>
      <w:r>
        <w:rPr>
          <w:rFonts w:ascii="Times New Roman" w:hAnsi="Times New Roman"/>
          <w:sz w:val="28"/>
        </w:rPr>
        <w:t xml:space="preserve"> Ассоциации (далее – Руководитель);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Совет Ассоциации (по тексту – Совет).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Высшим органом управления Ассоциацией является Общее собрание, созываемое не реже одного раза в год.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Время и место проведения Общего собрания, а также повестку дня определяет Совет.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Общее собрание решает любые вопросы деятельности ассоциации. К исключительной компетенции Общего собрания относится решение следующих вопросов: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внесение предложений </w:t>
      </w:r>
      <w:r w:rsidR="001340F2">
        <w:rPr>
          <w:rFonts w:ascii="Times New Roman" w:hAnsi="Times New Roman"/>
          <w:sz w:val="28"/>
        </w:rPr>
        <w:t xml:space="preserve">Президиуму Профсоюза </w:t>
      </w:r>
      <w:r>
        <w:rPr>
          <w:rFonts w:ascii="Times New Roman" w:hAnsi="Times New Roman"/>
          <w:sz w:val="28"/>
        </w:rPr>
        <w:t xml:space="preserve">по изменению и дополнению настоящего Положения; 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определение приоритетных направлений деятельности Ассоциации, принципов формирования и использования ее имущества;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избрание членов Совета, а также досрочное прекращение их полномочий;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рассмотрение и утверждение отчетов о деятельности Совета;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реорганизация и прекращение деятельности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Общее собрание правомочно, если на нем присутствует более половины членов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 Решение Общего собрания членов Ассоциации принимаются: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открытым или тайным голосованием (по решению Общего собрания);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простым большинством голосов членов, присутствующих на Общем собрании;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квалифицированным большинством голосов не менее 2/3 от числа членов, присутствующих на Общем собрании, по вопросам исключительной компетенции Общего собрания.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Решения Общего собрания членов Ассоциации оформляются протоколами, которые подписываются председателем и секретарем Общего собрания. 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5.8. Общее руководство деятельностью Ассоциации в период между Общими собраниями осуществляет Совет.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5.9. В состав Совета входят Руководитель, </w:t>
      </w:r>
      <w:proofErr w:type="spellStart"/>
      <w:r>
        <w:rPr>
          <w:rFonts w:ascii="Times New Roman" w:hAnsi="Times New Roman"/>
          <w:sz w:val="28"/>
        </w:rPr>
        <w:t>Статс</w:t>
      </w:r>
      <w:proofErr w:type="spellEnd"/>
      <w:r>
        <w:rPr>
          <w:rFonts w:ascii="Times New Roman" w:hAnsi="Times New Roman"/>
          <w:sz w:val="28"/>
        </w:rPr>
        <w:t xml:space="preserve">–Секретарь Ассоциации, члены Ассоциации в количестве </w:t>
      </w:r>
      <w:r w:rsidR="00FE29BA">
        <w:rPr>
          <w:rFonts w:ascii="Times New Roman" w:hAnsi="Times New Roman"/>
          <w:sz w:val="28"/>
        </w:rPr>
        <w:t>4-х</w:t>
      </w:r>
      <w:r>
        <w:rPr>
          <w:rFonts w:ascii="Times New Roman" w:hAnsi="Times New Roman"/>
          <w:sz w:val="28"/>
        </w:rPr>
        <w:t xml:space="preserve"> человек и секретарь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5.10. Совет проводит заседания в сроки и в порядке, определяемом Руководителем.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5.11. Совет избирается Общим собранием сроком на три года.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5.12. Полномочия членов Совета могут быть досрочно прекращены по решению Совета.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5.13. Совет выбирает из числа своих членов </w:t>
      </w:r>
      <w:proofErr w:type="spellStart"/>
      <w:r>
        <w:rPr>
          <w:rFonts w:ascii="Times New Roman" w:hAnsi="Times New Roman"/>
          <w:sz w:val="28"/>
        </w:rPr>
        <w:t>Статс</w:t>
      </w:r>
      <w:proofErr w:type="spellEnd"/>
      <w:r>
        <w:rPr>
          <w:rFonts w:ascii="Times New Roman" w:hAnsi="Times New Roman"/>
          <w:sz w:val="28"/>
        </w:rPr>
        <w:t>–Секретаря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5.14. К компетенции Совета относится: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утверждение Плана работы Ассоциации и внесение в него изменений по предложению Руководителя;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представление отчета о деятельности Ассоциации на Общем собрании членов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осуществление исполнительской деятельности для решения задач Ассоциации, предусмотренных настоящим Положением;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принятие решений о приеме в Ассоциацию новых членов и об исключении членов из состава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утверждение размера членских взносов, а также порядка их уплаты;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принятие решений о расходовании Бюджета;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другие вопросы в соответствии с утвержденным планом работ и настоящим Положением.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5.15. Заседание Совета правомочно, если на нем присутствует не менее 2/3 его членов.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5.16. Решение Совета принимаются большинством голосов членов, присутствующих на заседании Совета.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5.17. Руководитель </w:t>
      </w:r>
      <w:r w:rsidRPr="001A4418">
        <w:rPr>
          <w:rFonts w:ascii="Times New Roman" w:hAnsi="Times New Roman"/>
          <w:color w:val="000000" w:themeColor="text1"/>
          <w:sz w:val="28"/>
        </w:rPr>
        <w:t xml:space="preserve">утверждается решением Президиума </w:t>
      </w:r>
      <w:r w:rsidR="001A4418">
        <w:rPr>
          <w:rFonts w:ascii="Times New Roman" w:hAnsi="Times New Roman"/>
          <w:color w:val="000000" w:themeColor="text1"/>
          <w:sz w:val="28"/>
        </w:rPr>
        <w:t>Профсоюза сроком на 3 года</w:t>
      </w:r>
      <w:r w:rsidRPr="001A4418">
        <w:rPr>
          <w:rFonts w:ascii="Times New Roman" w:hAnsi="Times New Roman"/>
          <w:color w:val="000000" w:themeColor="text1"/>
          <w:sz w:val="28"/>
        </w:rPr>
        <w:t>. Руководитель в</w:t>
      </w:r>
      <w:r>
        <w:rPr>
          <w:rFonts w:ascii="Times New Roman" w:hAnsi="Times New Roman"/>
          <w:sz w:val="28"/>
        </w:rPr>
        <w:t>ыполняет следующие функции: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осуществляет общее руководство деятельностью Ассоциации;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представляет интересы Ассоциации в Профсоюзе и его организациях, органах государственного и местного управления, в общественных организациях;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возглавляет и организует работу Совета;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созывает заседания Совета;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председательствует на Общем собрании;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организует ведение протоколов заседаний Общего собрания и Совета.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5.18. В отсутствие Руководителя его обязанности исполняет </w:t>
      </w:r>
      <w:proofErr w:type="spellStart"/>
      <w:r>
        <w:rPr>
          <w:rFonts w:ascii="Times New Roman" w:hAnsi="Times New Roman"/>
          <w:sz w:val="28"/>
        </w:rPr>
        <w:t>Статс</w:t>
      </w:r>
      <w:proofErr w:type="spellEnd"/>
      <w:r>
        <w:rPr>
          <w:rFonts w:ascii="Times New Roman" w:hAnsi="Times New Roman"/>
          <w:sz w:val="28"/>
        </w:rPr>
        <w:t>–Секретарь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5.19. Ревизионная комиссия избирается Общим собранием из числа ее членов сроком на три года.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7706C" w:rsidRDefault="00A41421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БЮДЖЕТ АССОЦИАЦИИ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Бюджет Ассоциации (далее – Бюджет) – совокупность денежных средств и иного имущества, поступающих в Профсоюз для Ассоциации в порядке, определённом настоящим Положением.</w:t>
      </w:r>
    </w:p>
    <w:p w:rsidR="00703636" w:rsidRDefault="00703636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0164E">
        <w:rPr>
          <w:rFonts w:ascii="Times New Roman" w:hAnsi="Times New Roman"/>
          <w:color w:val="auto"/>
          <w:sz w:val="28"/>
          <w:szCs w:val="28"/>
        </w:rPr>
        <w:t>Департамент финансов, планирования и</w:t>
      </w:r>
      <w:r>
        <w:rPr>
          <w:rFonts w:ascii="Times New Roman" w:hAnsi="Times New Roman"/>
          <w:color w:val="auto"/>
          <w:sz w:val="28"/>
          <w:szCs w:val="28"/>
        </w:rPr>
        <w:t xml:space="preserve"> бухгалтерского учета Аппарата ЦК Профсоюза</w:t>
      </w:r>
      <w:r w:rsidRPr="0020164E">
        <w:rPr>
          <w:rFonts w:ascii="Times New Roman" w:hAnsi="Times New Roman"/>
          <w:color w:val="auto"/>
          <w:sz w:val="28"/>
          <w:szCs w:val="28"/>
        </w:rPr>
        <w:t xml:space="preserve"> ведет обособленный учет </w:t>
      </w:r>
      <w:r>
        <w:rPr>
          <w:rFonts w:ascii="Times New Roman" w:hAnsi="Times New Roman"/>
          <w:color w:val="auto"/>
          <w:sz w:val="28"/>
          <w:szCs w:val="28"/>
        </w:rPr>
        <w:t xml:space="preserve">денежных </w:t>
      </w:r>
      <w:r w:rsidRPr="0020164E">
        <w:rPr>
          <w:rFonts w:ascii="Times New Roman" w:hAnsi="Times New Roman"/>
          <w:color w:val="auto"/>
          <w:sz w:val="28"/>
          <w:szCs w:val="28"/>
        </w:rPr>
        <w:t>средств Ассоциации</w:t>
      </w:r>
      <w:r>
        <w:rPr>
          <w:rFonts w:ascii="Times New Roman" w:hAnsi="Times New Roman"/>
          <w:sz w:val="28"/>
        </w:rPr>
        <w:t>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Бюджет создаётся в целях содействия развитию и укреплению Профсоюза, мотивации осознанного членства в Профсоюзе, реализации целей и задач Ассоциации.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 Расходование Бюджета осуществляется Председателем Профсоюза в соответствии со сметой, </w:t>
      </w:r>
      <w:r w:rsidR="004E2F44">
        <w:rPr>
          <w:rFonts w:ascii="Times New Roman" w:hAnsi="Times New Roman"/>
          <w:sz w:val="28"/>
        </w:rPr>
        <w:t>утвержденн</w:t>
      </w:r>
      <w:r>
        <w:rPr>
          <w:rFonts w:ascii="Times New Roman" w:hAnsi="Times New Roman"/>
          <w:sz w:val="28"/>
        </w:rPr>
        <w:t>ой Общим собранием. Основанием для распоряжения денежными средствами Бюджета является решение Совета.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сумма Бюджета предельными размерами не ограничивается, изъятию или перераспределению по другим статьям бюджета</w:t>
      </w:r>
      <w:r>
        <w:rPr>
          <w:rFonts w:ascii="Times New Roman" w:hAnsi="Times New Roman"/>
          <w:sz w:val="28"/>
        </w:rPr>
        <w:br/>
        <w:t>РОСПРОФЖЕЛ не подлежит.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Источниками формирования Бюджета в денежной и иной формах являются: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 w:rsidR="005362D9">
        <w:rPr>
          <w:rFonts w:ascii="Times New Roman" w:hAnsi="Times New Roman"/>
          <w:sz w:val="28"/>
        </w:rPr>
        <w:t>членские взносы</w:t>
      </w:r>
      <w:r>
        <w:rPr>
          <w:rFonts w:ascii="Times New Roman" w:hAnsi="Times New Roman"/>
          <w:sz w:val="28"/>
        </w:rPr>
        <w:t>;</w:t>
      </w:r>
    </w:p>
    <w:p w:rsidR="004E2F44" w:rsidRDefault="00A41421" w:rsidP="004E2F44">
      <w:pPr>
        <w:tabs>
          <w:tab w:val="left" w:pos="1493"/>
        </w:tabs>
        <w:spacing w:after="0" w:line="274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добровольные денежные взносы и пожертвован</w:t>
      </w:r>
      <w:r w:rsidR="004E2F44">
        <w:rPr>
          <w:rFonts w:ascii="Times New Roman" w:hAnsi="Times New Roman"/>
          <w:sz w:val="28"/>
        </w:rPr>
        <w:t>ия физических и</w:t>
      </w:r>
      <w:r w:rsidR="004E2F44">
        <w:rPr>
          <w:rFonts w:ascii="Times New Roman" w:hAnsi="Times New Roman"/>
          <w:sz w:val="28"/>
        </w:rPr>
        <w:br/>
        <w:t>юридических лиц.</w:t>
      </w:r>
    </w:p>
    <w:p w:rsidR="004E2F44" w:rsidRDefault="00A41421" w:rsidP="004E2F44">
      <w:pPr>
        <w:tabs>
          <w:tab w:val="left" w:pos="1493"/>
        </w:tabs>
        <w:spacing w:after="0" w:line="274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Бухгалтерский учёт операций с Бюджетом осуществляет Департамент финансов, учета и планирования Аппарата ЦК Профсоюза.</w:t>
      </w:r>
    </w:p>
    <w:p w:rsidR="004E2F44" w:rsidRDefault="00A41421" w:rsidP="004E2F44">
      <w:pPr>
        <w:tabs>
          <w:tab w:val="left" w:pos="1493"/>
        </w:tabs>
        <w:spacing w:after="0" w:line="274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6.6. Годовой отчёт о расходах и доходах Бюджета представляется </w:t>
      </w:r>
      <w:r w:rsidR="00AD231C">
        <w:rPr>
          <w:rFonts w:ascii="Times New Roman" w:hAnsi="Times New Roman"/>
          <w:sz w:val="28"/>
        </w:rPr>
        <w:t xml:space="preserve">на утверждение </w:t>
      </w:r>
      <w:bookmarkStart w:id="0" w:name="_GoBack"/>
      <w:bookmarkEnd w:id="0"/>
      <w:r>
        <w:rPr>
          <w:rFonts w:ascii="Times New Roman" w:hAnsi="Times New Roman"/>
          <w:sz w:val="28"/>
        </w:rPr>
        <w:t>Общему собранию.</w:t>
      </w:r>
    </w:p>
    <w:p w:rsidR="0007706C" w:rsidRDefault="00A41421" w:rsidP="004E2F44">
      <w:pPr>
        <w:tabs>
          <w:tab w:val="left" w:pos="1493"/>
        </w:tabs>
        <w:spacing w:after="0" w:line="274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 Обоснованность и целевой характер расходования денежных средств Бюджета определяется при проверке финансово-хозяйственной деятельности ЦК Профсоюза Центральной Контрольно-ревизионной комиссией РОСПРОФЖЕЛ.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7706C" w:rsidRDefault="00A41421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РЕОРГАНИЗАЦИЯ И ПРЕКРАЩЕНИЕ ДЕЯТЕЛЬНОСТИ АССОЦИАЦИИ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Решение о прекращении деятельности Ассоциации принимается Общим собранием и/или решением Президиума Профсоюза.</w:t>
      </w:r>
    </w:p>
    <w:p w:rsidR="0007706C" w:rsidRDefault="00A41421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После принятия решения о прекращении деятельности Ассоциации Общее собрание избирает ликвидационную комиссию в количестве не менее 3-х человек, которая составляет ликвидационный акт.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7706C" w:rsidRDefault="00A4142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8. ЗАКЛЮЧИТЕЛЬНЫЕ ПОЛОЖЕНИЯ</w:t>
      </w:r>
    </w:p>
    <w:p w:rsidR="0007706C" w:rsidRDefault="00A41421">
      <w:pPr>
        <w:spacing w:after="0" w:line="274" w:lineRule="exact"/>
        <w:ind w:firstLine="7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Настоящее Положение подлежит изменению и дополнению в порядке, </w:t>
      </w:r>
      <w:r>
        <w:rPr>
          <w:rFonts w:ascii="Times New Roman" w:hAnsi="Times New Roman"/>
          <w:sz w:val="28"/>
        </w:rPr>
        <w:t>установленном для его утверждения.</w:t>
      </w:r>
    </w:p>
    <w:p w:rsidR="004E2F44" w:rsidRDefault="004E2F44">
      <w:pPr>
        <w:spacing w:after="0" w:line="274" w:lineRule="exact"/>
        <w:ind w:firstLine="715"/>
        <w:jc w:val="both"/>
        <w:rPr>
          <w:rFonts w:ascii="Times New Roman" w:hAnsi="Times New Roman"/>
          <w:sz w:val="28"/>
        </w:rPr>
      </w:pPr>
    </w:p>
    <w:p w:rsidR="004E2F44" w:rsidRDefault="004E2F44">
      <w:pPr>
        <w:spacing w:after="0" w:line="274" w:lineRule="exact"/>
        <w:ind w:firstLine="715"/>
        <w:jc w:val="both"/>
        <w:rPr>
          <w:rFonts w:ascii="Times New Roman" w:hAnsi="Times New Roman"/>
          <w:sz w:val="28"/>
        </w:rPr>
      </w:pPr>
    </w:p>
    <w:p w:rsidR="004E2F44" w:rsidRDefault="004E2F44" w:rsidP="004E2F44">
      <w:pPr>
        <w:spacing w:after="0" w:line="274" w:lineRule="exact"/>
        <w:ind w:firstLine="71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</w:t>
      </w:r>
    </w:p>
    <w:p w:rsidR="0007706C" w:rsidRDefault="0007706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330224" w:rsidRPr="00FC0850" w:rsidSect="00FC0850">
      <w:headerReference w:type="even" r:id="rId9"/>
      <w:headerReference w:type="default" r:id="rId10"/>
      <w:footerReference w:type="even" r:id="rId6"/>
      <w:footerReference w:type="default" r:id="rId12"/>
      <w:headerReference w:type="first" r:id="rId11"/>
      <w:footerReference w:type="firs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B9D" w:rsidRDefault="00315B9D" w:rsidP="00315B9D">
      <w:r>
        <w:separator/>
      </w:r>
    </w:p>
  </w:endnote>
  <w:endnote w:type="continuationSeparator" w:id="0">
    <w:p w:rsidR="00315B9D" w:rsidRDefault="00315B9D" w:rsidP="0031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9D" w:rsidRDefault="00315B9D">
    <w:pPr>
      <w:pStyle w:val="a9"/>
    </w:pP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p w:rsidR="00315B9D" w:rsidRDefault="00315B9D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FS_StampObjLite_001" o:spid="_x0000_s2049" type="#_x0000_t202" style="position:absolute;margin-left:0;margin-top:786pt;width:132pt;height:112pt;z-index:251658240;mso-wrap-style:none;mso-position-horizontal:center;mso-position-horizontal-relative:page;mso-position-vertical:absolute;mso-position-vertical-relative:page" o:allowincell="f" filled="f" strokecolor="blue" strokeweight="2pt">
          <v:stroke color2="black"/>
          <v:textbox style="mso-next-textbox:#DFS_StampObjLite_001;mso-fit-shape-to-text:t">
            <w:txbxContent>
              <w:p w:rsidR="00315B9D" w:rsidRPr="00D3780D" w:rsidRDefault="00F33785" w:rsidP="00D3780D">
                <w:pPr>
                  <w:spacing w:after="0" w:line="240" w:lineRule="auto"/>
                  <w:jc w:val="center"/>
                  <w:rPr>
                    <w:rFonts w:ascii="Calibri" w:hAnsi="Calibri" w:cs="Calibri"/>
                    <w:b/>
                    <w:color w:val="0000FF"/>
                    <w:sz w:val="18"/>
                    <w:szCs w:val="18"/>
                  </w:rPr>
                </w:pPr>
                <w:r w:rsidRPr="00315B9D">
                  <w:rPr>
                    <w:rFonts w:cs="Calibri"/>
                    <w:b/>
                    <w:color w:val="0000FF"/>
                    <w:sz w:val="16"/>
                    <w:szCs w:val="16"/>
                  </w:rPr>
                  <w:t>Электронная подпись: Черногаев Сергей Иванович, РОСПРОФЖЕЛ, Руководство, Председатель Профсоюза</w:t>
                </w:r>
              </w:p>
              <w:p w:rsidR="00315B9D" w:rsidRPr="00D3780D" w:rsidRDefault="00F33785" w:rsidP="00D3780D">
                <w:pPr>
                  <w:spacing w:after="0" w:line="240" w:lineRule="auto"/>
                  <w:rPr>
                    <w:rFonts w:cs="Calibri"/>
                    <w:b/>
                    <w:color w:val="0000FF"/>
                    <w:sz w:val="16"/>
                    <w:szCs w:val="16"/>
                  </w:rPr>
                </w:pPr>
                <w:r w:rsidRPr="00D3780D">
                  <w:rPr>
                    <w:rFonts w:cs="Calibri"/>
                    <w:b/>
                    <w:color w:val="0000FF"/>
                    <w:sz w:val="18"/>
                    <w:szCs w:val="18"/>
                  </w:rPr>
                  <w:t>№ 8.135 от 28.06.2022 03971F14017EAE54A5443711C6FA5CD145</w:t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9D" w:rsidRDefault="00315B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B9D" w:rsidRDefault="00315B9D" w:rsidP="00315B9D">
      <w:r>
        <w:separator/>
      </w:r>
    </w:p>
  </w:footnote>
  <w:footnote w:type="continuationSeparator" w:id="0">
    <w:p w:rsidR="00315B9D" w:rsidRDefault="00315B9D" w:rsidP="00315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9D" w:rsidRDefault="00315B9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9D" w:rsidRDefault="00315B9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9D" w:rsidRDefault="00315B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6C"/>
    <w:rsid w:val="0007706C"/>
    <w:rsid w:val="00077305"/>
    <w:rsid w:val="001340F2"/>
    <w:rsid w:val="001A4418"/>
    <w:rsid w:val="0047573D"/>
    <w:rsid w:val="00497DB9"/>
    <w:rsid w:val="004E2F44"/>
    <w:rsid w:val="005362D9"/>
    <w:rsid w:val="00627A38"/>
    <w:rsid w:val="00703636"/>
    <w:rsid w:val="008109FC"/>
    <w:rsid w:val="00A41421"/>
    <w:rsid w:val="00AD231C"/>
    <w:rsid w:val="00B43755"/>
    <w:rsid w:val="00DB5DE1"/>
    <w:rsid w:val="00FE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2778D-B684-48A5-B727-7620B14A7559}"/>
  <w:documentProtection w:salt="/ijk0n8VExOFeitylzia3g==" w:hash="jnCMaWqDv401DHj2rzhRBXHLzi0=" w:cryptSpinCount="100000" w:cryptAlgorithmSid="4" w:cryptAlgorithmType="typeAny" w:cryptAlgorithmClass="hash" w:cryptProviderType="rsaFull" w:enforcement="1"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Default">
    <w:name w:val="Default"/>
    <w:link w:val="Default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3" Type="http://schemas.openxmlformats.org/officeDocument/2006/relationships/webSettings" Target="webSettings.xml"/>
	<Relationship Id="rId4" Type="http://schemas.openxmlformats.org/officeDocument/2006/relationships/footnotes" Target="footnotes.xml"/>
	<Relationship Id="rId5" Type="http://schemas.openxmlformats.org/officeDocument/2006/relationships/endnotes" Target="endnotes.xml"/>
	<Relationship Id="rId6" Type="http://schemas.openxmlformats.org/officeDocument/2006/relationships/footer" Target="footer1.xml"/>
	<Relationship Id="rId7" Type="http://schemas.openxmlformats.org/officeDocument/2006/relationships/fontTable" Target="fontTable.xml"/>
	<Relationship Id="rId8" Type="http://schemas.openxmlformats.org/officeDocument/2006/relationships/theme" Target="theme/theme1.xml"/>
	<Relationship Id="rId9" Type="http://schemas.openxmlformats.org/officeDocument/2006/relationships/header" Target="header1.xml"/>
	<Relationship Id="rId10" Type="http://schemas.openxmlformats.org/officeDocument/2006/relationships/header" Target="header2.xml"/>
	<Relationship Id="rId11" Type="http://schemas.openxmlformats.org/officeDocument/2006/relationships/header" Target="header3.xml"/>
	<Relationship Id="rId12" Type="http://schemas.openxmlformats.org/officeDocument/2006/relationships/footer" Target="footer2.xml"/>
	<Relationship Id="rId13" Type="http://schemas.openxmlformats.org/officeDocument/2006/relationships/footer" Target="footer3.xml"/>
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BF2C6-03E5-44AB-A1D8-F207234C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1347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«РЖД»</vt:lpstr>
    </vt:vector>
  </TitlesOfParts>
  <Company>TOSHIBA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«РЖД»</dc:title>
  <dc:creator>emoskvin</dc:creator>
  <cp:lastModifiedBy>dovbush</cp:lastModifiedBy>
  <cp:revision>2</cp:revision>
  <cp:lastPrinted>2019-10-21T13:55:00Z</cp:lastPrinted>
  <dcterms:created xsi:type="dcterms:W3CDTF">2021-01-26T10:47:00Z</dcterms:created>
  <dcterms:modified xsi:type="dcterms:W3CDTF">2021-01-26T10:47:00Z</dcterms:modified>
</cp:coreProperties>
</file>