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29B" w:rsidRDefault="0009188B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Участие представительного органа работников </w:t>
      </w:r>
      <w:r>
        <w:rPr>
          <w:sz w:val="28"/>
          <w:szCs w:val="28"/>
        </w:rPr>
        <w:t>и</w:t>
      </w:r>
      <w:r>
        <w:rPr>
          <w:b/>
          <w:bCs/>
          <w:sz w:val="28"/>
          <w:szCs w:val="28"/>
        </w:rPr>
        <w:t>ли выборного органа первичной профсоюзной организации п</w:t>
      </w:r>
      <w:r>
        <w:rPr>
          <w:b/>
          <w:sz w:val="28"/>
          <w:szCs w:val="28"/>
        </w:rPr>
        <w:t>ри принятии локальных нормативных актов и решений работодателем</w:t>
      </w:r>
    </w:p>
    <w:p w:rsidR="00A9429B" w:rsidRDefault="00A9429B">
      <w:pPr>
        <w:jc w:val="center"/>
        <w:rPr>
          <w:b/>
          <w:bCs/>
          <w:sz w:val="28"/>
          <w:szCs w:val="28"/>
        </w:rPr>
      </w:pPr>
    </w:p>
    <w:p w:rsidR="00A9429B" w:rsidRDefault="0009188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</w:t>
      </w:r>
      <w:r w:rsidR="00B12F6A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РФ учет мнения представительного органа работников или выборного органа первичной профсоюзной организации требуется при принятии работодателем следующих локальных нормативных актов </w:t>
      </w:r>
      <w:r w:rsidR="00B12F6A">
        <w:rPr>
          <w:sz w:val="28"/>
          <w:szCs w:val="28"/>
        </w:rPr>
        <w:t>и решений</w:t>
      </w:r>
      <w:r>
        <w:rPr>
          <w:sz w:val="28"/>
          <w:szCs w:val="28"/>
        </w:rPr>
        <w:t>:</w:t>
      </w:r>
    </w:p>
    <w:p w:rsidR="00A9429B" w:rsidRDefault="0009188B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 введении электронного документооборота и определении порядка его осуществления (ст. 22.2 ТК РФ);</w:t>
      </w:r>
    </w:p>
    <w:p w:rsidR="00A9429B" w:rsidRDefault="0009188B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 определении возможности обмена документами с работниками при отсутствии электронного документ</w:t>
      </w:r>
      <w:r w:rsidR="00B12F6A">
        <w:rPr>
          <w:sz w:val="28"/>
          <w:szCs w:val="28"/>
        </w:rPr>
        <w:t>о</w:t>
      </w:r>
      <w:r>
        <w:rPr>
          <w:sz w:val="28"/>
          <w:szCs w:val="28"/>
        </w:rPr>
        <w:t>оборота в случае катастрофы природного или техногенного характера, производственной аварии, несчастного случая на производстве, пожара, наводнения, землетрясения, эпидемии или эпизоотии и в любых исключительных случаях, ставящих под угрозу жизнь, или нормальные жизненные условия всего населения, или его части (ч. 13 ст. 22.3 ТК РФ);</w:t>
      </w:r>
    </w:p>
    <w:p w:rsidR="00A9429B" w:rsidRDefault="0009188B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 введении и об отмене режима неполного рабочего времени, а также иных мер при угрозе массовых увольнений, предусмотренных ТК РФ, иными федеральными законами, коллективным договором, соглашением (ст. 74, ст. 180 ТК РФ);</w:t>
      </w:r>
    </w:p>
    <w:p w:rsidR="00A9429B" w:rsidRDefault="0009188B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 установлении порядка проведения аттестации (ч. 2. ст. 81 ТК РФ);</w:t>
      </w:r>
    </w:p>
    <w:p w:rsidR="00A9429B" w:rsidRDefault="0009188B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 увольнении работников, являющихся членами профсоюза, по основаниям, предусмотренным пунктами 2, 3 или 5 части первой ст. 81 ТК РФ (ст. 82 ТК РФ);</w:t>
      </w:r>
    </w:p>
    <w:p w:rsidR="00A9429B" w:rsidRDefault="0009188B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 привлечении работников к сверхурочным работам в случаях, не предусмотренных частями 2 и 3 ст. 99 ТК РФ (ст. 99 ТК РФ);</w:t>
      </w:r>
    </w:p>
    <w:p w:rsidR="00A9429B" w:rsidRDefault="0009188B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перечня должностей работников с ненормированным рабочим днем (ст. 101 ТК РФ);</w:t>
      </w:r>
    </w:p>
    <w:p w:rsidR="00A9429B" w:rsidRDefault="0009188B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составлении графиков сменности (ст. 103 ТК РФ);</w:t>
      </w:r>
    </w:p>
    <w:p w:rsidR="00A9429B" w:rsidRDefault="0009188B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 установлении режима разделенного на части рабочего дня (смены) (ст. 105 ТК РФ);</w:t>
      </w:r>
    </w:p>
    <w:p w:rsidR="00A9429B" w:rsidRDefault="0009188B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 определении размера и порядка выплаты работникам (за исключением работников, получающих оклад или должностной оклад) дополнительного вознаграждения за нерабочие праздничные дни, в которые они не привлекались к работе, дополнительного вознаграждения (ст. 112 ТК РФ);</w:t>
      </w:r>
    </w:p>
    <w:p w:rsidR="00A9429B" w:rsidRDefault="0009188B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 привлечении работников к работе в нерабочие праздничные и выходные дни в случаях, не предусмотренных частями 2 и 3 ст. 113 ТК РФ (ст. 113 ТК РФ);</w:t>
      </w:r>
    </w:p>
    <w:p w:rsidR="00A9429B" w:rsidRDefault="0009188B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 порядке и условиях предоставления дополнительных отпусков работникам с учетом производственных и финансовых возможностей работодателя (ст. 116 ТК РФ);</w:t>
      </w:r>
    </w:p>
    <w:p w:rsidR="00A9429B" w:rsidRDefault="0009188B">
      <w:pPr>
        <w:numPr>
          <w:ilvl w:val="0"/>
          <w:numId w:val="2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графика отпусков (ст. 123 ТК РФ);</w:t>
      </w:r>
    </w:p>
    <w:p w:rsidR="00A9429B" w:rsidRDefault="0009188B">
      <w:pPr>
        <w:numPr>
          <w:ilvl w:val="0"/>
          <w:numId w:val="2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об установлении системы оплаты труда (ст. 135 ТК РФ);</w:t>
      </w:r>
    </w:p>
    <w:p w:rsidR="00A9429B" w:rsidRDefault="0009188B">
      <w:pPr>
        <w:numPr>
          <w:ilvl w:val="0"/>
          <w:numId w:val="2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формы расчетного листка (ст. 136 ТК РФ);</w:t>
      </w:r>
    </w:p>
    <w:p w:rsidR="00A9429B" w:rsidRDefault="0009188B">
      <w:pPr>
        <w:numPr>
          <w:ilvl w:val="0"/>
          <w:numId w:val="2"/>
        </w:numPr>
        <w:tabs>
          <w:tab w:val="clear" w:pos="644"/>
          <w:tab w:val="num" w:pos="851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об установлении конкретных размеров повышения оплаты труда работников, занятых на работах с вредными и (или) опасными условиями труда (ст. 147 ТК РФ);</w:t>
      </w:r>
    </w:p>
    <w:p w:rsidR="00A9429B" w:rsidRDefault="0009188B">
      <w:pPr>
        <w:numPr>
          <w:ilvl w:val="0"/>
          <w:numId w:val="2"/>
        </w:numPr>
        <w:tabs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об установлении конкретных размеров оплаты за работу в выходной или нерабочий праздничный день (ст. 153 ТК РФ);</w:t>
      </w:r>
    </w:p>
    <w:p w:rsidR="00A9429B" w:rsidRDefault="0009188B">
      <w:pPr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конкретных размеров повышения оплаты труда за работу в ночное время (ст. 154 ТК РФ); </w:t>
      </w:r>
    </w:p>
    <w:p w:rsidR="00A9429B" w:rsidRDefault="0009188B">
      <w:pPr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 применении систем нормирования труда (ст. 159 ТК РФ);</w:t>
      </w:r>
    </w:p>
    <w:p w:rsidR="00A9429B" w:rsidRDefault="0009188B">
      <w:pPr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 принятии локальных нормативных актов, предусматривающих введение, замену и пересмотр норм труда (ст. 162 ТК РФ);</w:t>
      </w:r>
    </w:p>
    <w:p w:rsidR="00A9429B" w:rsidRDefault="0009188B">
      <w:pPr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правил внутреннего трудового распорядка организации (ст. 190 ТК РФ);</w:t>
      </w:r>
    </w:p>
    <w:p w:rsidR="00A9429B" w:rsidRDefault="0009188B">
      <w:pPr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определении форм профессиональной подготовки и дополнительного профессионального образования работников, перечне необходимых профессий и специальностей, в том числе для направления работников на прохождение независимой оценки квалификации (ст. 196 ТК РФ); </w:t>
      </w:r>
    </w:p>
    <w:p w:rsidR="00A9429B" w:rsidRDefault="0009188B">
      <w:pPr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охране труда (ст. 214 ТК РФ);</w:t>
      </w:r>
    </w:p>
    <w:p w:rsidR="00A9429B" w:rsidRDefault="0009188B">
      <w:pPr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разработке плана мероприятий для устранения оснований, послуживших установлению опасного класса условий труда (ст. 214.1 ТК РФ); </w:t>
      </w:r>
    </w:p>
    <w:p w:rsidR="00A9429B" w:rsidRDefault="0009188B">
      <w:pPr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повышенных или дополнительные гарантии и компенсаций работникам, занятым на работах с вредными и (или) опасными условиями труда с учетом финансово-экономического положения работодателя (ст. 216 ТК РФ); </w:t>
      </w:r>
    </w:p>
    <w:p w:rsidR="00A9429B" w:rsidRDefault="0009188B">
      <w:pPr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нормах бесплатной выдачи средств индивидуальной защиты и смывающих средств работникам (ст. 221 ТК РФ); </w:t>
      </w:r>
    </w:p>
    <w:p w:rsidR="00A9429B" w:rsidRDefault="0009188B">
      <w:pPr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 порядке применения вахтового метода (ст. 297 ТК РФ);</w:t>
      </w:r>
    </w:p>
    <w:p w:rsidR="00A9429B" w:rsidRDefault="0009188B">
      <w:pPr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 увеличении продолжительности вахты до 3 месяцев (ст. 299 ТК РФ);</w:t>
      </w:r>
    </w:p>
    <w:p w:rsidR="00A9429B" w:rsidRDefault="0009188B">
      <w:pPr>
        <w:numPr>
          <w:ilvl w:val="0"/>
          <w:numId w:val="2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 утверждении графика работы на вахте (ст. 301 ТК РФ); </w:t>
      </w:r>
    </w:p>
    <w:p w:rsidR="00A9429B" w:rsidRDefault="0009188B">
      <w:pPr>
        <w:numPr>
          <w:ilvl w:val="0"/>
          <w:numId w:val="2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 размере и порядке выплаты надбавки за вахтовый метод работы (ст. 302 ТК РФ);</w:t>
      </w:r>
    </w:p>
    <w:p w:rsidR="00A9429B" w:rsidRDefault="0009188B">
      <w:pPr>
        <w:numPr>
          <w:ilvl w:val="0"/>
          <w:numId w:val="2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 порядке взаимодействия дистанционного работника и работодателя путем обмена электронными документами (ст. 312.3 ТК РФ);</w:t>
      </w:r>
    </w:p>
    <w:p w:rsidR="00A9429B" w:rsidRDefault="0009188B">
      <w:pPr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об определении режима рабочего времени дистанционного работника, а при временной дистанционной работе – об определении продолжительности и (или) периодичности выполнения работником трудовой функции дистанционно (ст. 312.4 ТК РФ);</w:t>
      </w:r>
    </w:p>
    <w:p w:rsidR="00A9429B" w:rsidRDefault="0009188B">
      <w:pPr>
        <w:numPr>
          <w:ilvl w:val="0"/>
          <w:numId w:val="2"/>
        </w:numPr>
        <w:tabs>
          <w:tab w:val="left" w:pos="851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 определении порядка, сроков и размеров компенсации дистанционному работнику за использование принадлежащих ему или арендованных им оборудования, программно-технических средств, средств защиты информации и иных средств, а также, связанные с их использованием расходов (ст. 312.6 ТК РФ);  </w:t>
      </w:r>
    </w:p>
    <w:p w:rsidR="00A9429B" w:rsidRDefault="0009188B">
      <w:pPr>
        <w:numPr>
          <w:ilvl w:val="0"/>
          <w:numId w:val="2"/>
        </w:numPr>
        <w:tabs>
          <w:tab w:val="clear" w:pos="644"/>
          <w:tab w:val="left" w:pos="851"/>
          <w:tab w:val="left" w:pos="993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 определении особенностей охраны труда дистанционных работников (ст. 312.7 ТК РФ);</w:t>
      </w:r>
    </w:p>
    <w:p w:rsidR="00A9429B" w:rsidRDefault="0009188B">
      <w:pPr>
        <w:numPr>
          <w:ilvl w:val="0"/>
          <w:numId w:val="2"/>
        </w:numPr>
        <w:tabs>
          <w:tab w:val="clear" w:pos="644"/>
          <w:tab w:val="left" w:pos="851"/>
          <w:tab w:val="left" w:pos="993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 временном переводе на дистанционную работу по инициативе работодателя в случаях, предусмотренных ч. 1 ст. 312.9 ТК РФ (ч. 3 ст. 312.9 ТК РФ);</w:t>
      </w:r>
    </w:p>
    <w:p w:rsidR="00A9429B" w:rsidRDefault="0009188B">
      <w:pPr>
        <w:numPr>
          <w:ilvl w:val="0"/>
          <w:numId w:val="2"/>
        </w:numPr>
        <w:tabs>
          <w:tab w:val="clear" w:pos="644"/>
          <w:tab w:val="left" w:pos="851"/>
          <w:tab w:val="left" w:pos="993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 определении размера, условий и порядка компенсации расходов на оплату стоимости проезда и провоза багажа к месту использования отпуска и обратно для лиц, работающих в организациях, не относящихся к бюджетной сфере, расположенных в районах Крайнего Севера и приравненных к ним местностях (ст. 325 ТК РФ);</w:t>
      </w:r>
    </w:p>
    <w:p w:rsidR="00A9429B" w:rsidRDefault="0009188B">
      <w:pPr>
        <w:numPr>
          <w:ilvl w:val="0"/>
          <w:numId w:val="2"/>
        </w:numPr>
        <w:tabs>
          <w:tab w:val="clear" w:pos="644"/>
          <w:tab w:val="left" w:pos="993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 определении размера, условий и порядка компенсации расходов, связанных с переездом, лицам, работающим у работодателей, не относящихся к бюджетной сфере, расположенных в районах Крайнего Севера и приравненных к ним местностях (ст. 326 ТК РФ);</w:t>
      </w:r>
    </w:p>
    <w:p w:rsidR="00A9429B" w:rsidRDefault="0009188B">
      <w:pPr>
        <w:numPr>
          <w:ilvl w:val="0"/>
          <w:numId w:val="2"/>
        </w:numPr>
        <w:tabs>
          <w:tab w:val="clear" w:pos="644"/>
        </w:tabs>
        <w:spacing w:after="3" w:line="248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 установлении особенностей регулирования труда спортсменов, тренеров (ст. 348.1 ТК);</w:t>
      </w:r>
    </w:p>
    <w:p w:rsidR="00A9429B" w:rsidRDefault="0009188B">
      <w:pPr>
        <w:numPr>
          <w:ilvl w:val="0"/>
          <w:numId w:val="2"/>
        </w:numPr>
        <w:tabs>
          <w:tab w:val="clear" w:pos="644"/>
          <w:tab w:val="left" w:pos="993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увольнении по инициативе работодателя в соответствии с пунктом 5 части первой ст. 81 ТК РФ руководителей (их заместителей) выборных коллегиальных органов первичных профсоюзных организаций, выборных коллегиальных органов профсоюзных организаций структурных подразделений организаций (не ниже цеховых и приравненных к ним), не освобожденных от основной работы (ст. 374 ТК РФ).</w:t>
      </w:r>
    </w:p>
    <w:p w:rsidR="00A9429B" w:rsidRDefault="0009188B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429B" w:rsidRDefault="00A9429B">
      <w:pPr>
        <w:ind w:firstLine="567"/>
        <w:jc w:val="both"/>
        <w:rPr>
          <w:sz w:val="28"/>
          <w:szCs w:val="28"/>
        </w:rPr>
      </w:pPr>
    </w:p>
    <w:p w:rsidR="00A9429B" w:rsidRDefault="0009188B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Трудовым кодексом РФ предусмотрены случаи, когда работодатель обязан принимать решения только с </w:t>
      </w:r>
      <w:r>
        <w:rPr>
          <w:b/>
          <w:sz w:val="28"/>
          <w:szCs w:val="28"/>
        </w:rPr>
        <w:t>предварительного согласия</w:t>
      </w:r>
      <w:r>
        <w:rPr>
          <w:sz w:val="28"/>
          <w:szCs w:val="28"/>
        </w:rPr>
        <w:t xml:space="preserve"> соответствующего вышестоящего выборного профсоюзного органа:</w:t>
      </w:r>
    </w:p>
    <w:p w:rsidR="00A9429B" w:rsidRDefault="0009188B">
      <w:pPr>
        <w:numPr>
          <w:ilvl w:val="0"/>
          <w:numId w:val="3"/>
        </w:numPr>
        <w:tabs>
          <w:tab w:val="clear" w:pos="72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расторжение трудового договора по инициативе работодателя в соответствии с пунктами 2 или 3 части первой ст. 81 ТК РФ с руководителями (их заместителями) выборных коллегиальных органов первичных профсоюзных организаций, выборных коллегиальных органов профсоюзных организаций структурных подразделений организаций (не ниже цеховых и приравненных к ним), не освобожденными от основной работы  (ст. 374 ТК РФ)</w:t>
      </w:r>
      <w:r>
        <w:rPr>
          <w:rStyle w:val="af4"/>
          <w:sz w:val="28"/>
          <w:szCs w:val="28"/>
        </w:rPr>
        <w:footnoteReference w:id="1"/>
      </w:r>
      <w:r>
        <w:rPr>
          <w:sz w:val="28"/>
          <w:szCs w:val="28"/>
        </w:rPr>
        <w:t>;</w:t>
      </w:r>
    </w:p>
    <w:p w:rsidR="00A9429B" w:rsidRDefault="0009188B">
      <w:pPr>
        <w:numPr>
          <w:ilvl w:val="0"/>
          <w:numId w:val="3"/>
        </w:numPr>
        <w:spacing w:line="247" w:lineRule="auto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>расторжение трудового договора по инициативе работодателя по основаниям, предусмотренным пунктами 2 или 3 части первой ст. 81 ТК РФ, с руководителями выборного органа первичной профсоюзной организации и его заместителями, в течение двух лет после окончания срока их полномочий (ст. ст. 374, 376 ТК РФ)</w:t>
      </w:r>
      <w:r>
        <w:rPr>
          <w:rStyle w:val="af4"/>
          <w:sz w:val="28"/>
          <w:szCs w:val="28"/>
        </w:rPr>
        <w:footnoteReference w:id="2"/>
      </w:r>
      <w:r>
        <w:rPr>
          <w:sz w:val="28"/>
          <w:szCs w:val="28"/>
        </w:rPr>
        <w:t>.</w:t>
      </w:r>
    </w:p>
    <w:p w:rsidR="00A9429B" w:rsidRDefault="0009188B">
      <w:pPr>
        <w:spacing w:line="247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применении дисциплинарного взыскания, переводе на другую работу или увольнении по инициативе работодателя представителей работников, участвующих в разрешении коллективного трудового спора, необходимо согласие органа, уполномочившего их на представительство (ст. 405 ТК РФ).</w:t>
      </w:r>
    </w:p>
    <w:p w:rsidR="00A9429B" w:rsidRDefault="00A9429B">
      <w:pPr>
        <w:spacing w:line="247" w:lineRule="auto"/>
        <w:ind w:left="357"/>
        <w:jc w:val="both"/>
        <w:rPr>
          <w:sz w:val="28"/>
          <w:szCs w:val="28"/>
        </w:rPr>
      </w:pPr>
    </w:p>
    <w:p w:rsidR="00A9429B" w:rsidRDefault="0009188B">
      <w:pPr>
        <w:spacing w:line="247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Кроме того, в соответствии с ч.2 ст.8 ТК РФ принятие локальных нормативных актов с учетом мнения представительного органа работников может быть предусмотрено коллективным договором, соглашениями. Так, п. 9.4 Коллективного договора ОАО «РЖД» на 2023-2025 гг. предусмотрено учитывать мнение выборного органа ППО ОАО «РЖД» РОСПРОФЖЕЛ при рассмотрении вопроса о привлечении на работу в Компании иностранной рабочей силы. </w:t>
      </w:r>
    </w:p>
    <w:sectPr w:rsidR="00A9429B">
      <w:footerReference w:type="even" r:id="rId7"/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29B" w:rsidRDefault="0009188B">
      <w:r>
        <w:separator/>
      </w:r>
    </w:p>
  </w:endnote>
  <w:endnote w:type="continuationSeparator" w:id="0">
    <w:p w:rsidR="00A9429B" w:rsidRDefault="0009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29B" w:rsidRDefault="0009188B">
    <w:pPr>
      <w:pStyle w:val="ad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A9429B" w:rsidRDefault="00A9429B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29B" w:rsidRDefault="0009188B">
    <w:pPr>
      <w:pStyle w:val="ad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D309C8">
      <w:rPr>
        <w:rStyle w:val="afa"/>
        <w:noProof/>
      </w:rPr>
      <w:t>1</w:t>
    </w:r>
    <w:r>
      <w:rPr>
        <w:rStyle w:val="afa"/>
      </w:rPr>
      <w:fldChar w:fldCharType="end"/>
    </w:r>
  </w:p>
  <w:p w:rsidR="00A9429B" w:rsidRDefault="00A9429B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29B" w:rsidRDefault="0009188B">
      <w:r>
        <w:separator/>
      </w:r>
    </w:p>
  </w:footnote>
  <w:footnote w:type="continuationSeparator" w:id="0">
    <w:p w:rsidR="00A9429B" w:rsidRDefault="0009188B">
      <w:r>
        <w:continuationSeparator/>
      </w:r>
    </w:p>
  </w:footnote>
  <w:footnote w:id="1">
    <w:p w:rsidR="00A9429B" w:rsidRDefault="0009188B">
      <w:pPr>
        <w:pStyle w:val="af2"/>
        <w:jc w:val="both"/>
      </w:pPr>
      <w:r>
        <w:rPr>
          <w:rStyle w:val="af4"/>
        </w:rPr>
        <w:footnoteRef/>
      </w:r>
      <w:r>
        <w:t xml:space="preserve"> при отсутствии соответствующего вышестоящего выборного профсоюзного органа увольнение по основаниям, предусмотренным пунктом 2, 3 или 5 части первой статьи 81 ТК РФ, работников, указанных в части первой ст. 374 ТК РФ, производится с соблюдением порядка, установленного ст. 373 ТК РФ</w:t>
      </w:r>
    </w:p>
  </w:footnote>
  <w:footnote w:id="2">
    <w:p w:rsidR="00A9429B" w:rsidRDefault="0009188B">
      <w:pPr>
        <w:pStyle w:val="af2"/>
        <w:jc w:val="both"/>
      </w:pPr>
      <w:r>
        <w:rPr>
          <w:rStyle w:val="af4"/>
        </w:rPr>
        <w:footnoteRef/>
      </w:r>
      <w:r>
        <w:t xml:space="preserve"> при отсутствии соответствующего вышестоящего выборного профсоюзного органа увольнение по основаниям, предусмотренным пунктом 2, 3 или 5 части первой статьи 81 ТК РФ, работников, указанных в части первой ст. 374 ТК РФ, производится с соблюдением порядка, установленного ст. 373 ТК РФ</w:t>
      </w:r>
    </w:p>
    <w:p w:rsidR="00A9429B" w:rsidRDefault="00A9429B">
      <w:pPr>
        <w:pStyle w:val="af2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C5743"/>
    <w:multiLevelType w:val="hybridMultilevel"/>
    <w:tmpl w:val="E3C45874"/>
    <w:lvl w:ilvl="0" w:tplc="E98C28A4">
      <w:start w:val="1"/>
      <w:numFmt w:val="decimal"/>
      <w:lvlText w:val="%1."/>
      <w:lvlJc w:val="left"/>
      <w:pPr>
        <w:ind w:left="647"/>
      </w:pPr>
      <w:rPr>
        <w:rFonts w:ascii="Times New Roman" w:eastAsia="Times New Roman" w:hAnsi="Times New Roman" w:cs="Times New Roman"/>
        <w:color w:val="181717"/>
        <w:sz w:val="24"/>
        <w:szCs w:val="24"/>
        <w:u w:val="none"/>
        <w:vertAlign w:val="baseline"/>
      </w:rPr>
    </w:lvl>
    <w:lvl w:ilvl="1" w:tplc="A9EEA8D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color w:val="181717"/>
        <w:sz w:val="24"/>
        <w:szCs w:val="24"/>
        <w:u w:val="none"/>
        <w:vertAlign w:val="baseline"/>
      </w:rPr>
    </w:lvl>
    <w:lvl w:ilvl="2" w:tplc="C5B675D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color w:val="181717"/>
        <w:sz w:val="24"/>
        <w:szCs w:val="24"/>
        <w:u w:val="none"/>
        <w:vertAlign w:val="baseline"/>
      </w:rPr>
    </w:lvl>
    <w:lvl w:ilvl="3" w:tplc="5BFC4BB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color w:val="181717"/>
        <w:sz w:val="24"/>
        <w:szCs w:val="24"/>
        <w:u w:val="none"/>
        <w:vertAlign w:val="baseline"/>
      </w:rPr>
    </w:lvl>
    <w:lvl w:ilvl="4" w:tplc="FE0E0AB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color w:val="181717"/>
        <w:sz w:val="24"/>
        <w:szCs w:val="24"/>
        <w:u w:val="none"/>
        <w:vertAlign w:val="baseline"/>
      </w:rPr>
    </w:lvl>
    <w:lvl w:ilvl="5" w:tplc="7E3E8EA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color w:val="181717"/>
        <w:sz w:val="24"/>
        <w:szCs w:val="24"/>
        <w:u w:val="none"/>
        <w:vertAlign w:val="baseline"/>
      </w:rPr>
    </w:lvl>
    <w:lvl w:ilvl="6" w:tplc="55143C2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color w:val="181717"/>
        <w:sz w:val="24"/>
        <w:szCs w:val="24"/>
        <w:u w:val="none"/>
        <w:vertAlign w:val="baseline"/>
      </w:rPr>
    </w:lvl>
    <w:lvl w:ilvl="7" w:tplc="625AA50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color w:val="181717"/>
        <w:sz w:val="24"/>
        <w:szCs w:val="24"/>
        <w:u w:val="none"/>
        <w:vertAlign w:val="baseline"/>
      </w:rPr>
    </w:lvl>
    <w:lvl w:ilvl="8" w:tplc="C3C269D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color w:val="181717"/>
        <w:sz w:val="24"/>
        <w:szCs w:val="24"/>
        <w:u w:val="none"/>
        <w:vertAlign w:val="baseline"/>
      </w:rPr>
    </w:lvl>
  </w:abstractNum>
  <w:abstractNum w:abstractNumId="1" w15:restartNumberingAfterBreak="0">
    <w:nsid w:val="411338B9"/>
    <w:multiLevelType w:val="hybridMultilevel"/>
    <w:tmpl w:val="B7E44DC6"/>
    <w:lvl w:ilvl="0" w:tplc="09240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8AE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C85B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2023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D806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B82C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14FB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D0D46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B0D6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6F7D24"/>
    <w:multiLevelType w:val="hybridMultilevel"/>
    <w:tmpl w:val="4B044B02"/>
    <w:lvl w:ilvl="0" w:tplc="E1EA5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0A03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7E73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C0BE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1CF8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1C01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4C33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2C97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866E6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682157"/>
    <w:multiLevelType w:val="hybridMultilevel"/>
    <w:tmpl w:val="59FA3BBE"/>
    <w:lvl w:ilvl="0" w:tplc="66FA1B6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9DA650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F604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5C62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AACC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7829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8CF9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A49F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24F4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D1322F"/>
    <w:multiLevelType w:val="hybridMultilevel"/>
    <w:tmpl w:val="E27A0484"/>
    <w:lvl w:ilvl="0" w:tplc="9230C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2071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48EB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7475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0883D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F8B4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46A0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980A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222DE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E16D4B"/>
    <w:multiLevelType w:val="hybridMultilevel"/>
    <w:tmpl w:val="3D7870C6"/>
    <w:lvl w:ilvl="0" w:tplc="D262A2F4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color w:val="181717"/>
        <w:sz w:val="24"/>
        <w:szCs w:val="24"/>
        <w:u w:val="none"/>
        <w:vertAlign w:val="baseline"/>
      </w:rPr>
    </w:lvl>
    <w:lvl w:ilvl="1" w:tplc="1D28F1E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color w:val="181717"/>
        <w:sz w:val="24"/>
        <w:szCs w:val="24"/>
        <w:u w:val="none"/>
        <w:vertAlign w:val="baseline"/>
      </w:rPr>
    </w:lvl>
    <w:lvl w:ilvl="2" w:tplc="07C687C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color w:val="181717"/>
        <w:sz w:val="24"/>
        <w:szCs w:val="24"/>
        <w:u w:val="none"/>
        <w:vertAlign w:val="baseline"/>
      </w:rPr>
    </w:lvl>
    <w:lvl w:ilvl="3" w:tplc="B036953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color w:val="181717"/>
        <w:sz w:val="24"/>
        <w:szCs w:val="24"/>
        <w:u w:val="none"/>
        <w:vertAlign w:val="baseline"/>
      </w:rPr>
    </w:lvl>
    <w:lvl w:ilvl="4" w:tplc="C07A807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color w:val="181717"/>
        <w:sz w:val="24"/>
        <w:szCs w:val="24"/>
        <w:u w:val="none"/>
        <w:vertAlign w:val="baseline"/>
      </w:rPr>
    </w:lvl>
    <w:lvl w:ilvl="5" w:tplc="CE82CC6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color w:val="181717"/>
        <w:sz w:val="24"/>
        <w:szCs w:val="24"/>
        <w:u w:val="none"/>
        <w:vertAlign w:val="baseline"/>
      </w:rPr>
    </w:lvl>
    <w:lvl w:ilvl="6" w:tplc="852A124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color w:val="181717"/>
        <w:sz w:val="24"/>
        <w:szCs w:val="24"/>
        <w:u w:val="none"/>
        <w:vertAlign w:val="baseline"/>
      </w:rPr>
    </w:lvl>
    <w:lvl w:ilvl="7" w:tplc="DBDC2BA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color w:val="181717"/>
        <w:sz w:val="24"/>
        <w:szCs w:val="24"/>
        <w:u w:val="none"/>
        <w:vertAlign w:val="baseline"/>
      </w:rPr>
    </w:lvl>
    <w:lvl w:ilvl="8" w:tplc="A67EA6C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color w:val="181717"/>
        <w:sz w:val="24"/>
        <w:szCs w:val="24"/>
        <w:u w:val="none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9B"/>
    <w:rsid w:val="0009188B"/>
    <w:rsid w:val="00A9429B"/>
    <w:rsid w:val="00B12F6A"/>
    <w:rsid w:val="00D3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AABAC-3380-40E2-8DA9-FCC22A54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vertAlign w:val="superscript"/>
    </w:rPr>
  </w:style>
  <w:style w:type="paragraph" w:styleId="af5">
    <w:name w:val="endnote text"/>
    <w:basedOn w:val="a"/>
    <w:link w:val="af6"/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character" w:styleId="afa">
    <w:name w:val="page number"/>
    <w:basedOn w:val="a0"/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f6">
    <w:name w:val="Текст концевой сноски Знак"/>
    <w:basedOn w:val="a0"/>
    <w:link w:val="af5"/>
  </w:style>
  <w:style w:type="character" w:customStyle="1" w:styleId="af3">
    <w:name w:val="Текст сноски Знак"/>
    <w:basedOn w:val="a0"/>
    <w:link w:val="af2"/>
  </w:style>
  <w:style w:type="character" w:customStyle="1" w:styleId="ac">
    <w:name w:val="Верхний колонтитул Знак"/>
    <w:link w:val="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1127</Words>
  <Characters>6424</Characters>
  <Application>Microsoft Office Word</Application>
  <DocSecurity>4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Статья 52</vt:lpstr>
    </vt:vector>
  </TitlesOfParts>
  <Company>РОСПРОФЖЕЛ</Company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52</dc:title>
  <dc:creator>Бабинков А.М.</dc:creator>
  <cp:lastModifiedBy>Сафонова Майя Николаевна</cp:lastModifiedBy>
  <cp:revision>2</cp:revision>
  <dcterms:created xsi:type="dcterms:W3CDTF">2022-12-29T07:56:00Z</dcterms:created>
  <dcterms:modified xsi:type="dcterms:W3CDTF">2022-12-29T07:56:00Z</dcterms:modified>
  <cp:version>1048576</cp:version>
</cp:coreProperties>
</file>